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35" w:rsidRPr="001F2C35" w:rsidRDefault="0091068C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Mikroregin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Krnovsko</w:t>
      </w:r>
      <w:proofErr w:type="spellEnd"/>
    </w:p>
    <w:p w:rsidR="001F2C35" w:rsidRPr="001F2C35" w:rsidRDefault="0091068C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Hlavní </w:t>
      </w:r>
      <w:proofErr w:type="gramStart"/>
      <w:r w:rsidR="001F2C35" w:rsidRPr="001F2C35">
        <w:rPr>
          <w:rFonts w:asciiTheme="minorHAnsi" w:hAnsiTheme="minorHAnsi"/>
          <w:b/>
          <w:bCs/>
        </w:rPr>
        <w:t xml:space="preserve">nám. </w:t>
      </w:r>
      <w:r>
        <w:rPr>
          <w:rFonts w:asciiTheme="minorHAnsi" w:hAnsiTheme="minorHAnsi"/>
          <w:b/>
          <w:bCs/>
        </w:rPr>
        <w:t>1</w:t>
      </w:r>
      <w:r w:rsidR="001F2C35" w:rsidRPr="001F2C35">
        <w:rPr>
          <w:rFonts w:asciiTheme="minorHAnsi" w:hAnsiTheme="minorHAnsi"/>
          <w:b/>
          <w:bCs/>
        </w:rPr>
        <w:t xml:space="preserve">,  </w:t>
      </w:r>
      <w:r>
        <w:rPr>
          <w:rFonts w:asciiTheme="minorHAnsi" w:hAnsiTheme="minorHAnsi"/>
          <w:b/>
          <w:bCs/>
        </w:rPr>
        <w:t>794 01</w:t>
      </w:r>
      <w:proofErr w:type="gramEnd"/>
      <w:r>
        <w:rPr>
          <w:rFonts w:asciiTheme="minorHAnsi" w:hAnsiTheme="minorHAnsi"/>
          <w:b/>
          <w:bCs/>
        </w:rPr>
        <w:t xml:space="preserve"> Krnov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z w:val="28"/>
        </w:rPr>
      </w:pP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VYÚČTOVÁNÍ VEŘEJNÉ FINANČNÍ PODPORY</w:t>
      </w: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 xml:space="preserve">Z ROZPOČTU </w:t>
      </w:r>
      <w:r w:rsidR="0091068C">
        <w:rPr>
          <w:rFonts w:asciiTheme="minorHAnsi" w:hAnsiTheme="minorHAnsi"/>
          <w:b/>
          <w:bCs/>
          <w:sz w:val="28"/>
        </w:rPr>
        <w:t>MIKROREGIONU KRNOVSKO</w:t>
      </w:r>
    </w:p>
    <w:p w:rsidR="001F2C35" w:rsidRPr="001F2C35" w:rsidRDefault="001F2C35" w:rsidP="00BE6969">
      <w:pPr>
        <w:jc w:val="center"/>
        <w:rPr>
          <w:rFonts w:asciiTheme="minorHAnsi" w:hAnsiTheme="minorHAnsi"/>
        </w:rPr>
      </w:pPr>
      <w:r w:rsidRPr="001F2C35">
        <w:rPr>
          <w:rFonts w:asciiTheme="minorHAnsi" w:hAnsiTheme="minorHAnsi"/>
          <w:b/>
          <w:bCs/>
          <w:sz w:val="28"/>
        </w:rPr>
        <w:t>PRO ROK ………</w:t>
      </w:r>
      <w:r w:rsidR="000F745B">
        <w:rPr>
          <w:rFonts w:asciiTheme="minorHAnsi" w:hAnsiTheme="minorHAnsi"/>
          <w:b/>
          <w:bCs/>
          <w:sz w:val="28"/>
        </w:rPr>
        <w:t>…</w:t>
      </w:r>
    </w:p>
    <w:p w:rsidR="00BE6969" w:rsidRDefault="00BE6969" w:rsidP="001F2C35">
      <w:pPr>
        <w:spacing w:after="120"/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I. IDENTIFIKACE PŘÍJEMCE: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9"/>
        <w:gridCol w:w="6850"/>
      </w:tblGrid>
      <w:tr w:rsidR="001F2C35" w:rsidRPr="00BE6969" w:rsidTr="00524408">
        <w:trPr>
          <w:trHeight w:hRule="exact" w:val="567"/>
        </w:trPr>
        <w:tc>
          <w:tcPr>
            <w:tcW w:w="2770" w:type="dxa"/>
            <w:vAlign w:val="center"/>
          </w:tcPr>
          <w:p w:rsidR="00524408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Příjemce </w:t>
            </w:r>
          </w:p>
          <w:p w:rsidR="001F2C35" w:rsidRPr="00BE6969" w:rsidRDefault="001F2C35" w:rsidP="005244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(název a sídlo</w:t>
            </w:r>
            <w:r w:rsidR="00524408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 xml:space="preserve"> jméno a adresa)</w:t>
            </w:r>
          </w:p>
        </w:tc>
        <w:tc>
          <w:tcPr>
            <w:tcW w:w="6802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524408">
        <w:trPr>
          <w:trHeight w:hRule="exact" w:val="567"/>
        </w:trPr>
        <w:tc>
          <w:tcPr>
            <w:tcW w:w="277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6802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524408">
        <w:trPr>
          <w:trHeight w:hRule="exact" w:val="750"/>
        </w:trPr>
        <w:tc>
          <w:tcPr>
            <w:tcW w:w="2770" w:type="dxa"/>
            <w:vAlign w:val="center"/>
          </w:tcPr>
          <w:p w:rsidR="001F2C35" w:rsidRPr="00BE6969" w:rsidRDefault="001F2C35" w:rsidP="0057052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Čí</w:t>
            </w:r>
            <w:r w:rsidR="005705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slo smlouvy, dle které byla VFP, 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6802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524408">
        <w:trPr>
          <w:trHeight w:hRule="exact" w:val="567"/>
        </w:trPr>
        <w:tc>
          <w:tcPr>
            <w:tcW w:w="277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Kontaktní osoba odpovědná za vyúčtování</w:t>
            </w:r>
          </w:p>
        </w:tc>
        <w:tc>
          <w:tcPr>
            <w:tcW w:w="6802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524408">
        <w:trPr>
          <w:trHeight w:hRule="exact" w:val="567"/>
        </w:trPr>
        <w:tc>
          <w:tcPr>
            <w:tcW w:w="277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Telefon, e-mail </w:t>
            </w:r>
          </w:p>
        </w:tc>
        <w:tc>
          <w:tcPr>
            <w:tcW w:w="6802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II. CELKOVÁ VÝŠE POSKYTNUTÉ VFP: …………………………………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1653"/>
        <w:gridCol w:w="1654"/>
        <w:gridCol w:w="1654"/>
      </w:tblGrid>
      <w:tr w:rsidR="000F745B" w:rsidRPr="00524408" w:rsidTr="00A04CC6">
        <w:trPr>
          <w:trHeight w:hRule="exact" w:val="516"/>
        </w:trPr>
        <w:tc>
          <w:tcPr>
            <w:tcW w:w="4748" w:type="dxa"/>
            <w:shd w:val="clear" w:color="auto" w:fill="B3B3B3"/>
            <w:vAlign w:val="center"/>
          </w:tcPr>
          <w:p w:rsidR="000F745B" w:rsidRPr="00524408" w:rsidRDefault="000F745B" w:rsidP="00524408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Použití VFP</w:t>
            </w:r>
          </w:p>
        </w:tc>
        <w:tc>
          <w:tcPr>
            <w:tcW w:w="1653" w:type="dxa"/>
            <w:shd w:val="clear" w:color="auto" w:fill="B3B3B3"/>
            <w:vAlign w:val="center"/>
          </w:tcPr>
          <w:p w:rsidR="000F745B" w:rsidRPr="00524408" w:rsidRDefault="000F745B" w:rsidP="000F74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CELKOVÉ náklady </w:t>
            </w:r>
            <w:r w:rsidRPr="000F745B">
              <w:rPr>
                <w:rFonts w:asciiTheme="minorHAnsi" w:hAnsiTheme="minorHAnsi"/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Default="000F745B" w:rsidP="000F74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Hrazeno z dotace</w:t>
            </w:r>
          </w:p>
          <w:p w:rsidR="000F745B" w:rsidRPr="000F745B" w:rsidRDefault="000F745B" w:rsidP="000F745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F745B">
              <w:rPr>
                <w:rFonts w:asciiTheme="minorHAnsi" w:hAnsiTheme="minorHAnsi"/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Počet příloh</w:t>
            </w:r>
          </w:p>
          <w:p w:rsidR="000F745B" w:rsidRPr="00524408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(kopie dokladů)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Honoráře přednášejícím, účinkujícím a mzdy pořadatelům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Ceny a upomínkové předměty pro soutěžící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nebo hosty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Nájemné sálů, hřišť a dalších venkovních či vnitřních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 spojené s nájmem – příprava a úklid pronajatých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Propagace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spotřebního materiálu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energií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drobného hmotného majetku spojeného s realizací akcí s výjimkou mobilních telefonů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 materiálu a osob na akce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Zajištění služeb s výjimkou stravy, pohoštění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a leasingu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Ubytování účastníků akcí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Drobné opravy majetku organizací užívaného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pro činnost organizace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0F745B" w:rsidRDefault="000F745B" w:rsidP="0052440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745B">
              <w:rPr>
                <w:rFonts w:asciiTheme="minorHAnsi" w:hAnsiTheme="minorHAnsi"/>
                <w:i/>
                <w:sz w:val="20"/>
                <w:szCs w:val="20"/>
              </w:rPr>
              <w:t>Tabulku je možné doplnit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 další řádky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Default="001F2C35" w:rsidP="000F745B">
      <w:pPr>
        <w:tabs>
          <w:tab w:val="left" w:pos="180"/>
        </w:tabs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="00524408">
        <w:rPr>
          <w:rFonts w:asciiTheme="minorHAnsi" w:hAnsiTheme="minorHAnsi"/>
          <w:i/>
        </w:rPr>
        <w:t>Nehodící se nevyplňujte</w:t>
      </w:r>
    </w:p>
    <w:p w:rsidR="000F745B" w:rsidRPr="001F2C35" w:rsidRDefault="000F745B" w:rsidP="000F745B">
      <w:pPr>
        <w:tabs>
          <w:tab w:val="left" w:pos="180"/>
        </w:tabs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III. FINANCOVÁNÍ ČINNOSTI NEBO PROJEKTU PŘÍJEMCE: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0"/>
        <w:gridCol w:w="2241"/>
        <w:gridCol w:w="2466"/>
        <w:gridCol w:w="2512"/>
      </w:tblGrid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Příjmy / Výnosy</w:t>
            </w:r>
          </w:p>
        </w:tc>
        <w:tc>
          <w:tcPr>
            <w:tcW w:w="2241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2466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Výdaje / Náklady</w:t>
            </w:r>
          </w:p>
        </w:tc>
        <w:tc>
          <w:tcPr>
            <w:tcW w:w="2512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5705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VFP z rozpočtu </w:t>
            </w:r>
            <w:r w:rsidR="0057052D">
              <w:rPr>
                <w:rFonts w:asciiTheme="minorHAnsi" w:hAnsiTheme="minorHAnsi"/>
                <w:b/>
                <w:sz w:val="20"/>
                <w:szCs w:val="20"/>
              </w:rPr>
              <w:t>MRK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Členské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Materiální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Nájmy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Vstupné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Reklama, dary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výnosy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 a cestovní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Opravy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Odvody a ostatní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524408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Pr="001F2C35">
        <w:rPr>
          <w:rFonts w:asciiTheme="minorHAnsi" w:hAnsiTheme="minorHAnsi"/>
          <w:i/>
        </w:rPr>
        <w:t>Nehodící se nevyplňujte.</w:t>
      </w:r>
    </w:p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</w:rPr>
      </w:pPr>
    </w:p>
    <w:p w:rsidR="001F2C35" w:rsidRDefault="000F745B" w:rsidP="001F2C35">
      <w:pPr>
        <w:spacing w:before="120"/>
        <w:jc w:val="both"/>
        <w:rPr>
          <w:rFonts w:asciiTheme="minorHAnsi" w:hAnsiTheme="minorHAnsi"/>
        </w:rPr>
      </w:pPr>
      <w:r w:rsidRPr="000F745B">
        <w:rPr>
          <w:rFonts w:asciiTheme="minorHAnsi" w:hAnsiTheme="minorHAnsi"/>
        </w:rPr>
        <w:t xml:space="preserve">IV. </w:t>
      </w:r>
      <w:r w:rsidR="001F2C35" w:rsidRPr="000F745B">
        <w:rPr>
          <w:rFonts w:asciiTheme="minorHAnsi" w:hAnsiTheme="minorHAnsi"/>
        </w:rPr>
        <w:t>POČET ÚČASTÍKŮ AKCE:</w:t>
      </w:r>
    </w:p>
    <w:p w:rsidR="000F745B" w:rsidRPr="000F745B" w:rsidRDefault="000F745B" w:rsidP="001F2C35">
      <w:pPr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700"/>
      </w:tblGrid>
      <w:tr w:rsidR="001F2C35" w:rsidRPr="001F2C35" w:rsidTr="001F2C35">
        <w:tc>
          <w:tcPr>
            <w:tcW w:w="2160" w:type="dxa"/>
            <w:shd w:val="clear" w:color="auto" w:fill="A0A0A0"/>
          </w:tcPr>
          <w:p w:rsidR="001F2C35" w:rsidRPr="001F2C35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  <w:u w:val="single"/>
              </w:rPr>
            </w:pPr>
            <w:r w:rsidRPr="001F2C35">
              <w:rPr>
                <w:rFonts w:asciiTheme="minorHAnsi" w:hAnsiTheme="minorHAnsi"/>
                <w:b/>
                <w:bCs/>
                <w:u w:val="single"/>
              </w:rPr>
              <w:t>Termín</w:t>
            </w:r>
          </w:p>
        </w:tc>
        <w:tc>
          <w:tcPr>
            <w:tcW w:w="2700" w:type="dxa"/>
            <w:shd w:val="clear" w:color="auto" w:fill="A0A0A0"/>
          </w:tcPr>
          <w:p w:rsidR="001F2C35" w:rsidRPr="001F2C35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  <w:u w:val="single"/>
              </w:rPr>
            </w:pPr>
            <w:r w:rsidRPr="001F2C35">
              <w:rPr>
                <w:rFonts w:asciiTheme="minorHAnsi" w:hAnsiTheme="minorHAnsi"/>
                <w:b/>
                <w:bCs/>
                <w:u w:val="single"/>
              </w:rPr>
              <w:t>Počet účastníků</w:t>
            </w: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1F2C35" w:rsidRPr="001F2C35" w:rsidRDefault="001F2C35" w:rsidP="001F2C35">
      <w:pPr>
        <w:spacing w:before="120"/>
        <w:jc w:val="both"/>
        <w:rPr>
          <w:rFonts w:asciiTheme="minorHAnsi" w:hAnsiTheme="minorHAnsi"/>
          <w:u w:val="single"/>
        </w:rPr>
      </w:pPr>
    </w:p>
    <w:p w:rsidR="001F2C35" w:rsidRPr="000F745B" w:rsidRDefault="000F745B" w:rsidP="001F2C35">
      <w:pPr>
        <w:spacing w:after="120"/>
        <w:jc w:val="both"/>
        <w:rPr>
          <w:rFonts w:asciiTheme="minorHAnsi" w:hAnsiTheme="minorHAnsi"/>
        </w:rPr>
      </w:pPr>
      <w:r w:rsidRPr="000F745B">
        <w:rPr>
          <w:rFonts w:asciiTheme="minorHAnsi" w:hAnsiTheme="minorHAnsi"/>
        </w:rPr>
        <w:t xml:space="preserve">V. </w:t>
      </w:r>
      <w:r w:rsidR="001F2C35" w:rsidRPr="000F745B">
        <w:rPr>
          <w:rFonts w:asciiTheme="minorHAnsi" w:hAnsiTheme="minorHAnsi"/>
        </w:rPr>
        <w:t>ZPŮSOB VYÚČTOVÁNÍ: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proofErr w:type="gramStart"/>
      <w:r w:rsidRPr="001F2C35">
        <w:rPr>
          <w:rFonts w:asciiTheme="minorHAnsi" w:hAnsiTheme="minorHAnsi"/>
        </w:rPr>
        <w:t>předloží</w:t>
      </w:r>
      <w:proofErr w:type="gramEnd"/>
      <w:r w:rsidRPr="001F2C35">
        <w:rPr>
          <w:rFonts w:asciiTheme="minorHAnsi" w:hAnsiTheme="minorHAnsi"/>
        </w:rPr>
        <w:t xml:space="preserve"> </w:t>
      </w:r>
      <w:r w:rsidR="0091068C">
        <w:rPr>
          <w:rFonts w:asciiTheme="minorHAnsi" w:hAnsiTheme="minorHAnsi"/>
        </w:rPr>
        <w:t xml:space="preserve">SR </w:t>
      </w:r>
      <w:proofErr w:type="gramStart"/>
      <w:r w:rsidR="0091068C">
        <w:rPr>
          <w:rFonts w:asciiTheme="minorHAnsi" w:hAnsiTheme="minorHAnsi"/>
        </w:rPr>
        <w:t>MRK</w:t>
      </w:r>
      <w:proofErr w:type="gramEnd"/>
      <w:r w:rsidRPr="001F2C35">
        <w:rPr>
          <w:rFonts w:asciiTheme="minorHAnsi" w:hAnsiTheme="minorHAnsi"/>
        </w:rPr>
        <w:t xml:space="preserve"> v souladu se smlouvou a Programem pro poskytování veřejné finanční podpory z rozpočtu </w:t>
      </w:r>
      <w:r w:rsidR="0091068C">
        <w:rPr>
          <w:rFonts w:asciiTheme="minorHAnsi" w:hAnsiTheme="minorHAnsi"/>
        </w:rPr>
        <w:t>MRK</w:t>
      </w:r>
      <w:r w:rsidRPr="001F2C35">
        <w:rPr>
          <w:rFonts w:asciiTheme="minorHAnsi" w:hAnsiTheme="minorHAnsi"/>
        </w:rPr>
        <w:t xml:space="preserve"> vyúčtování poskytnuté VFP výhradně na tomto tiskopise. Na vyžádání předloží kopie výkazu zisku a ztráty a rozvahy za rok, kterého se VFP týká (příjemce vede zjednodušené nebo podvojné účetnictví) nebo přehledu o příjmech a výdajích a</w:t>
      </w:r>
      <w:r w:rsidR="00156E56">
        <w:rPr>
          <w:rFonts w:asciiTheme="minorHAnsi" w:hAnsiTheme="minorHAnsi"/>
        </w:rPr>
        <w:t> </w:t>
      </w:r>
      <w:r w:rsidRPr="001F2C35">
        <w:rPr>
          <w:rFonts w:asciiTheme="minorHAnsi" w:hAnsiTheme="minorHAnsi"/>
        </w:rPr>
        <w:t>přehledu o majetku a závazcích (příjemce vede daňovou evidenci, jednoduché účetnictví), tyto doklady nepředkládá k vyúčtování příjemce VFP - grantu.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 souladu se zněním veřejnosprávní smlouvy předloží příjemce VFP </w:t>
      </w:r>
      <w:r w:rsidR="00CA4D50">
        <w:rPr>
          <w:rFonts w:asciiTheme="minorHAnsi" w:hAnsiTheme="minorHAnsi"/>
        </w:rPr>
        <w:t>b</w:t>
      </w:r>
      <w:r w:rsidRPr="001F2C35">
        <w:rPr>
          <w:rFonts w:asciiTheme="minorHAnsi" w:hAnsiTheme="minorHAnsi"/>
        </w:rPr>
        <w:t xml:space="preserve">uď kopii článku (článků), které předal </w:t>
      </w:r>
      <w:proofErr w:type="spellStart"/>
      <w:r w:rsidR="0057052D">
        <w:rPr>
          <w:rFonts w:asciiTheme="minorHAnsi" w:hAnsiTheme="minorHAnsi"/>
        </w:rPr>
        <w:t>Mikroregionu</w:t>
      </w:r>
      <w:proofErr w:type="spellEnd"/>
      <w:r w:rsidR="0057052D">
        <w:rPr>
          <w:rFonts w:asciiTheme="minorHAnsi" w:hAnsiTheme="minorHAnsi"/>
        </w:rPr>
        <w:t xml:space="preserve"> </w:t>
      </w:r>
      <w:proofErr w:type="spellStart"/>
      <w:r w:rsidR="0057052D">
        <w:rPr>
          <w:rFonts w:asciiTheme="minorHAnsi" w:hAnsiTheme="minorHAnsi"/>
        </w:rPr>
        <w:t>Krnovsko</w:t>
      </w:r>
      <w:proofErr w:type="spellEnd"/>
      <w:r w:rsidRPr="001F2C35">
        <w:rPr>
          <w:rFonts w:asciiTheme="minorHAnsi" w:hAnsiTheme="minorHAnsi"/>
        </w:rPr>
        <w:t xml:space="preserve">, </w:t>
      </w:r>
      <w:r w:rsidR="0057052D">
        <w:rPr>
          <w:rFonts w:asciiTheme="minorHAnsi" w:hAnsiTheme="minorHAnsi"/>
        </w:rPr>
        <w:t>k možnému zveřejnění na stránkách www.mikroregionkrnovsko.cz</w:t>
      </w:r>
      <w:r w:rsidRPr="001F2C35">
        <w:rPr>
          <w:rFonts w:asciiTheme="minorHAnsi" w:hAnsiTheme="minorHAnsi"/>
        </w:rPr>
        <w:t>, nebo zprávu o činnosti za rok, jehož se vyúčtování VFP týká.</w:t>
      </w:r>
    </w:p>
    <w:p w:rsidR="001F2C35" w:rsidRPr="0091068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1068C">
        <w:rPr>
          <w:rFonts w:asciiTheme="minorHAnsi" w:hAnsiTheme="minorHAnsi"/>
        </w:rPr>
        <w:t xml:space="preserve">Příjemce VFP předloží kopie </w:t>
      </w:r>
      <w:r w:rsidR="00CA4D50" w:rsidRPr="0091068C">
        <w:rPr>
          <w:rFonts w:asciiTheme="minorHAnsi" w:hAnsiTheme="minorHAnsi"/>
        </w:rPr>
        <w:t xml:space="preserve">všech </w:t>
      </w:r>
      <w:r w:rsidRPr="0091068C">
        <w:rPr>
          <w:rFonts w:asciiTheme="minorHAnsi" w:hAnsiTheme="minorHAnsi"/>
        </w:rPr>
        <w:t>dokladů (daňové doklady a faktury spolu s dokladem o úhradě) o použití VFP</w:t>
      </w:r>
      <w:r w:rsidR="00CA4D50" w:rsidRPr="0091068C">
        <w:rPr>
          <w:rFonts w:asciiTheme="minorHAnsi" w:hAnsiTheme="minorHAnsi"/>
        </w:rPr>
        <w:t xml:space="preserve"> tak, aby byly prokázány výnosy (příjmy) a náklady (výdaje) na projekt v plné výši a mohl být určen skutečný podíl VFP na celkových nákladech </w:t>
      </w:r>
      <w:r w:rsidR="00CA4D50" w:rsidRPr="0091068C">
        <w:rPr>
          <w:rFonts w:asciiTheme="minorHAnsi" w:hAnsiTheme="minorHAnsi"/>
        </w:rPr>
        <w:lastRenderedPageBreak/>
        <w:t>(výdajích) na projekt,</w:t>
      </w:r>
      <w:r w:rsidRPr="0091068C">
        <w:rPr>
          <w:rFonts w:asciiTheme="minorHAnsi" w:hAnsiTheme="minorHAnsi"/>
        </w:rPr>
        <w:t xml:space="preserve"> a to spolu s jejich soupisem. Předložení kopií dokladů je možné nahradit kontrolou originálů dokladů na místě, případně zapůjčením originálů dokladů ke kontrole prováděné </w:t>
      </w:r>
      <w:r w:rsidR="0091068C">
        <w:rPr>
          <w:rFonts w:asciiTheme="minorHAnsi" w:hAnsiTheme="minorHAnsi"/>
        </w:rPr>
        <w:t xml:space="preserve">SR MRK. </w:t>
      </w:r>
      <w:r w:rsidRPr="0091068C">
        <w:rPr>
          <w:rFonts w:asciiTheme="minorHAnsi" w:hAnsiTheme="minorHAnsi"/>
        </w:rPr>
        <w:t>Příjemce VFP vyplní jako součást vyúčtování počet účastníků akce a předloží</w:t>
      </w:r>
      <w:r w:rsidR="00CA4D50" w:rsidRPr="0091068C">
        <w:rPr>
          <w:rFonts w:asciiTheme="minorHAnsi" w:hAnsiTheme="minorHAnsi"/>
        </w:rPr>
        <w:t xml:space="preserve"> </w:t>
      </w:r>
      <w:r w:rsidRPr="0091068C">
        <w:rPr>
          <w:rFonts w:asciiTheme="minorHAnsi" w:hAnsiTheme="minorHAnsi"/>
        </w:rPr>
        <w:t>seznam převzetí cen výherci soutěží nebo dalšími oceněnými (hodnota ceny 300 Kč a</w:t>
      </w:r>
      <w:r w:rsidR="00156E56" w:rsidRPr="0091068C">
        <w:rPr>
          <w:rFonts w:asciiTheme="minorHAnsi" w:hAnsiTheme="minorHAnsi"/>
        </w:rPr>
        <w:t> </w:t>
      </w:r>
      <w:r w:rsidRPr="0091068C">
        <w:rPr>
          <w:rFonts w:asciiTheme="minorHAnsi" w:hAnsiTheme="minorHAnsi"/>
        </w:rPr>
        <w:t>více) včetně jejich podpisů.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Následná veřejnosprávní kontrola u příjemců VFP bude provedena na základě předloženého vyúčtování dle výše uvedených bodů.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Následná veřejnosprávní kontrola u příjemců VFP na činnost nebo k jiným účelům bude provedena na základě předloženého vyúčtování dle výše uvedených bodů a kontrolou dokladů (originálů, bez předkládání kopií dokladů) o použití VFP na místě. Příjemce VFP může po dohodě poskytnout (zapůjčit) originály dokladů ke kontrole prováděné</w:t>
      </w:r>
      <w:r w:rsidR="0091068C">
        <w:rPr>
          <w:rFonts w:asciiTheme="minorHAnsi" w:hAnsiTheme="minorHAnsi"/>
        </w:rPr>
        <w:t xml:space="preserve"> SR MRK</w:t>
      </w:r>
      <w:bookmarkStart w:id="0" w:name="_GoBack"/>
      <w:bookmarkEnd w:id="0"/>
      <w:r w:rsidRPr="001F2C35">
        <w:rPr>
          <w:rFonts w:asciiTheme="minorHAnsi" w:hAnsiTheme="minorHAnsi"/>
        </w:rPr>
        <w:t xml:space="preserve">. 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Příjemce VFP je povinen předložit kontrolnímu orgánu i další doklady, o které je kontrolní orgán požádá a které se vztahují k předmětné VFP a mohou přispět k řádnému objasnění vyúčtování (jedná se zejména o účetnictví organizace).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  <w:u w:val="single"/>
        </w:rPr>
      </w:pPr>
      <w:r w:rsidRPr="001F2C35">
        <w:rPr>
          <w:rFonts w:asciiTheme="minorHAnsi" w:hAnsiTheme="minorHAnsi"/>
          <w:u w:val="single"/>
        </w:rPr>
        <w:t>ČESTNÉ PROHLÁŠENÍ:</w:t>
      </w:r>
    </w:p>
    <w:p w:rsidR="001F2C35" w:rsidRPr="000F745B" w:rsidRDefault="001F2C35" w:rsidP="001F2C35">
      <w:pPr>
        <w:keepNext/>
        <w:jc w:val="both"/>
        <w:outlineLvl w:val="3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všechny uvedené údaje jsou pravdivé</w:t>
      </w:r>
      <w:r w:rsidR="000F745B">
        <w:rPr>
          <w:rFonts w:asciiTheme="minorHAnsi" w:hAnsiTheme="minorHAnsi"/>
        </w:rPr>
        <w:t>, že nezatajuje žádné okolnosti důležité pro posouzení projektu</w:t>
      </w:r>
      <w:r w:rsidRPr="001F2C35">
        <w:rPr>
          <w:rFonts w:asciiTheme="minorHAnsi" w:hAnsiTheme="minorHAnsi"/>
        </w:rPr>
        <w:t>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A122E0">
      <w:pPr>
        <w:spacing w:before="120"/>
        <w:jc w:val="both"/>
        <w:rPr>
          <w:rFonts w:asciiTheme="minorHAnsi" w:hAnsiTheme="minorHAnsi"/>
        </w:rPr>
      </w:pPr>
      <w:proofErr w:type="gramStart"/>
      <w:r w:rsidRPr="001F2C35">
        <w:rPr>
          <w:rFonts w:asciiTheme="minorHAnsi" w:hAnsiTheme="minorHAnsi"/>
        </w:rPr>
        <w:t>V  …</w:t>
      </w:r>
      <w:proofErr w:type="gramEnd"/>
      <w:r w:rsidRPr="001F2C35">
        <w:rPr>
          <w:rFonts w:asciiTheme="minorHAnsi" w:hAnsiTheme="minorHAnsi"/>
        </w:rPr>
        <w:t xml:space="preserve">……………. </w:t>
      </w:r>
      <w:r w:rsidR="00A122E0">
        <w:rPr>
          <w:rFonts w:asciiTheme="minorHAnsi" w:hAnsiTheme="minorHAnsi"/>
        </w:rPr>
        <w:t xml:space="preserve">     XX.XX.20XX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.........................................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podpis a razítko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sectPr w:rsidR="001F2C35" w:rsidRPr="001F2C35" w:rsidSect="000F7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AC" w:rsidRDefault="00152FAC" w:rsidP="001F2C35">
      <w:r>
        <w:separator/>
      </w:r>
    </w:p>
  </w:endnote>
  <w:endnote w:type="continuationSeparator" w:id="0">
    <w:p w:rsidR="00152FAC" w:rsidRDefault="00152FAC" w:rsidP="001F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81" w:rsidRDefault="00DD2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7F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420063814"/>
        <w:docPartObj>
          <w:docPartGallery w:val="Page Numbers (Bottom of Page)"/>
          <w:docPartUnique/>
        </w:docPartObj>
      </w:sdtPr>
      <w:sdtContent>
        <w:r w:rsidR="00DD20BF"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="00DD20BF" w:rsidRPr="000F745B">
          <w:rPr>
            <w:rFonts w:asciiTheme="minorHAnsi" w:hAnsiTheme="minorHAnsi" w:cstheme="minorHAnsi"/>
            <w:sz w:val="22"/>
          </w:rPr>
          <w:fldChar w:fldCharType="separate"/>
        </w:r>
        <w:r w:rsidR="00D01BD1">
          <w:rPr>
            <w:rFonts w:asciiTheme="minorHAnsi" w:hAnsiTheme="minorHAnsi" w:cstheme="minorHAnsi"/>
            <w:noProof/>
            <w:sz w:val="22"/>
          </w:rPr>
          <w:t>3</w:t>
        </w:r>
        <w:r w:rsidR="00DD20BF"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011872405"/>
        <w:docPartObj>
          <w:docPartGallery w:val="Page Numbers (Bottom of Page)"/>
          <w:docPartUnique/>
        </w:docPartObj>
      </w:sdtPr>
      <w:sdtContent>
        <w:r w:rsidR="00DD20BF"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="00DD20BF" w:rsidRPr="000F745B">
          <w:rPr>
            <w:rFonts w:asciiTheme="minorHAnsi" w:hAnsiTheme="minorHAnsi" w:cstheme="minorHAnsi"/>
            <w:sz w:val="22"/>
          </w:rPr>
          <w:fldChar w:fldCharType="separate"/>
        </w:r>
        <w:r w:rsidR="006D33F7">
          <w:rPr>
            <w:rFonts w:asciiTheme="minorHAnsi" w:hAnsiTheme="minorHAnsi" w:cstheme="minorHAnsi"/>
            <w:noProof/>
            <w:sz w:val="22"/>
          </w:rPr>
          <w:t>1</w:t>
        </w:r>
        <w:r w:rsidR="00DD20BF"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AC" w:rsidRDefault="00152FAC" w:rsidP="001F2C35">
      <w:r>
        <w:separator/>
      </w:r>
    </w:p>
  </w:footnote>
  <w:footnote w:type="continuationSeparator" w:id="0">
    <w:p w:rsidR="00152FAC" w:rsidRDefault="00152FAC" w:rsidP="001F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D1" w:rsidRDefault="00D01BD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D1" w:rsidRPr="00D01BD1" w:rsidRDefault="006D33F7">
    <w:pPr>
      <w:pStyle w:val="Zhlav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PŘÍLOHA </w:t>
    </w:r>
    <w:r>
      <w:rPr>
        <w:rFonts w:ascii="Times New Roman" w:hAnsi="Times New Roman"/>
        <w:sz w:val="28"/>
        <w:szCs w:val="28"/>
      </w:rPr>
      <w:t>Č</w:t>
    </w:r>
    <w:r w:rsidR="00D01BD1" w:rsidRPr="00D01BD1">
      <w:rPr>
        <w:rFonts w:ascii="Times New Roman" w:hAnsi="Times New Roman"/>
        <w:sz w:val="28"/>
        <w:szCs w:val="28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8E0"/>
    <w:rsid w:val="00030C00"/>
    <w:rsid w:val="00041362"/>
    <w:rsid w:val="00061A15"/>
    <w:rsid w:val="00082460"/>
    <w:rsid w:val="000F745B"/>
    <w:rsid w:val="00152FAC"/>
    <w:rsid w:val="00156E56"/>
    <w:rsid w:val="001F2C35"/>
    <w:rsid w:val="0022184C"/>
    <w:rsid w:val="00231FD8"/>
    <w:rsid w:val="00242AFA"/>
    <w:rsid w:val="00247E42"/>
    <w:rsid w:val="002660D5"/>
    <w:rsid w:val="00292136"/>
    <w:rsid w:val="00347664"/>
    <w:rsid w:val="003E1C8A"/>
    <w:rsid w:val="00452BBA"/>
    <w:rsid w:val="00466DB6"/>
    <w:rsid w:val="00486D55"/>
    <w:rsid w:val="004F0DE3"/>
    <w:rsid w:val="004F1826"/>
    <w:rsid w:val="00501D64"/>
    <w:rsid w:val="00515F0D"/>
    <w:rsid w:val="00520976"/>
    <w:rsid w:val="00524408"/>
    <w:rsid w:val="00560515"/>
    <w:rsid w:val="0057052D"/>
    <w:rsid w:val="00591308"/>
    <w:rsid w:val="005A5218"/>
    <w:rsid w:val="006057A8"/>
    <w:rsid w:val="00646159"/>
    <w:rsid w:val="00670810"/>
    <w:rsid w:val="006C19BA"/>
    <w:rsid w:val="006D04AC"/>
    <w:rsid w:val="006D33F7"/>
    <w:rsid w:val="007273D0"/>
    <w:rsid w:val="00784E4B"/>
    <w:rsid w:val="007A46C5"/>
    <w:rsid w:val="007D3865"/>
    <w:rsid w:val="007E2299"/>
    <w:rsid w:val="007F36D5"/>
    <w:rsid w:val="00815327"/>
    <w:rsid w:val="00832DE8"/>
    <w:rsid w:val="00857221"/>
    <w:rsid w:val="00873E86"/>
    <w:rsid w:val="00891309"/>
    <w:rsid w:val="00896B4B"/>
    <w:rsid w:val="008B074A"/>
    <w:rsid w:val="008B7F81"/>
    <w:rsid w:val="008C496B"/>
    <w:rsid w:val="008F1DD0"/>
    <w:rsid w:val="0091068C"/>
    <w:rsid w:val="00920538"/>
    <w:rsid w:val="00932281"/>
    <w:rsid w:val="00934943"/>
    <w:rsid w:val="00941E77"/>
    <w:rsid w:val="00943A23"/>
    <w:rsid w:val="0097410D"/>
    <w:rsid w:val="00997D2C"/>
    <w:rsid w:val="009C3959"/>
    <w:rsid w:val="00A04CC6"/>
    <w:rsid w:val="00A122E0"/>
    <w:rsid w:val="00A430E7"/>
    <w:rsid w:val="00A67024"/>
    <w:rsid w:val="00A847B7"/>
    <w:rsid w:val="00AB7CCD"/>
    <w:rsid w:val="00B22A19"/>
    <w:rsid w:val="00B4076C"/>
    <w:rsid w:val="00BB107F"/>
    <w:rsid w:val="00BB1A69"/>
    <w:rsid w:val="00BC1980"/>
    <w:rsid w:val="00BC4F14"/>
    <w:rsid w:val="00BD3F38"/>
    <w:rsid w:val="00BD67D7"/>
    <w:rsid w:val="00BE0B52"/>
    <w:rsid w:val="00BE6969"/>
    <w:rsid w:val="00C67A25"/>
    <w:rsid w:val="00CA4D50"/>
    <w:rsid w:val="00CB628B"/>
    <w:rsid w:val="00CE6930"/>
    <w:rsid w:val="00CF7A8E"/>
    <w:rsid w:val="00D01BD1"/>
    <w:rsid w:val="00D211AB"/>
    <w:rsid w:val="00D3358F"/>
    <w:rsid w:val="00D438B3"/>
    <w:rsid w:val="00D64326"/>
    <w:rsid w:val="00D840E3"/>
    <w:rsid w:val="00D863DF"/>
    <w:rsid w:val="00D876A0"/>
    <w:rsid w:val="00DB6B3E"/>
    <w:rsid w:val="00DD20BF"/>
    <w:rsid w:val="00DD4C98"/>
    <w:rsid w:val="00DE4D67"/>
    <w:rsid w:val="00DF4361"/>
    <w:rsid w:val="00E43611"/>
    <w:rsid w:val="00E56F85"/>
    <w:rsid w:val="00E8126C"/>
    <w:rsid w:val="00ED2220"/>
    <w:rsid w:val="00ED69EB"/>
    <w:rsid w:val="00EF02CA"/>
    <w:rsid w:val="00F2047B"/>
    <w:rsid w:val="00F45CC2"/>
    <w:rsid w:val="00F80C0C"/>
    <w:rsid w:val="00F856A8"/>
    <w:rsid w:val="00F948E0"/>
    <w:rsid w:val="00FC0E4A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0D8-427F-467B-A76C-FC23F6F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Slavík</dc:creator>
  <cp:keywords/>
  <dc:description/>
  <cp:lastModifiedBy>HP</cp:lastModifiedBy>
  <cp:revision>6</cp:revision>
  <cp:lastPrinted>2015-08-11T06:38:00Z</cp:lastPrinted>
  <dcterms:created xsi:type="dcterms:W3CDTF">2015-10-05T12:26:00Z</dcterms:created>
  <dcterms:modified xsi:type="dcterms:W3CDTF">2016-06-27T14:53:00Z</dcterms:modified>
</cp:coreProperties>
</file>